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32D4D6" w14:textId="77777777" w:rsidR="00A01E98" w:rsidRPr="0090349D" w:rsidRDefault="00A01E98" w:rsidP="00A01E98">
      <w:pPr>
        <w:rPr>
          <w:rFonts w:eastAsia="Times New Roman" w:cs="Times New Roman"/>
          <w:lang w:eastAsia="hu-HU"/>
        </w:rPr>
      </w:pPr>
      <w:r w:rsidRPr="0090349D">
        <w:rPr>
          <w:rFonts w:eastAsia="Times New Roman" w:cs="Times New Roman"/>
          <w:noProof/>
          <w:color w:val="000000"/>
          <w:sz w:val="16"/>
          <w:szCs w:val="16"/>
          <w:bdr w:val="none" w:sz="0" w:space="0" w:color="auto" w:frame="1"/>
          <w:lang w:eastAsia="hu-HU"/>
        </w:rPr>
        <w:drawing>
          <wp:inline distT="0" distB="0" distL="0" distR="0" wp14:anchorId="37552C83" wp14:editId="59996F56">
            <wp:extent cx="1533525" cy="561975"/>
            <wp:effectExtent l="0" t="0" r="9525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BEFF6" w14:textId="77777777" w:rsidR="00A01E98" w:rsidRPr="0090349D" w:rsidRDefault="00A01E98" w:rsidP="00A01E98">
      <w:pPr>
        <w:rPr>
          <w:rFonts w:eastAsia="Times New Roman" w:cs="Times New Roman"/>
          <w:lang w:eastAsia="hu-HU"/>
        </w:rPr>
      </w:pPr>
      <w:r w:rsidRPr="0090349D">
        <w:rPr>
          <w:rFonts w:eastAsia="Times New Roman" w:cs="Times New Roman"/>
          <w:color w:val="000000"/>
          <w:sz w:val="16"/>
          <w:szCs w:val="16"/>
          <w:lang w:eastAsia="hu-HU"/>
        </w:rPr>
        <w:t>Telki Község Önkormányzata</w:t>
      </w:r>
    </w:p>
    <w:p w14:paraId="55D15827" w14:textId="77777777" w:rsidR="00A01E98" w:rsidRPr="0090349D" w:rsidRDefault="00A01E98" w:rsidP="00A01E98">
      <w:pPr>
        <w:rPr>
          <w:rFonts w:eastAsia="Times New Roman" w:cs="Times New Roman"/>
          <w:lang w:eastAsia="hu-HU"/>
        </w:rPr>
      </w:pPr>
      <w:r w:rsidRPr="0090349D">
        <w:rPr>
          <w:rFonts w:eastAsia="Times New Roman" w:cs="Times New Roman"/>
          <w:color w:val="000000"/>
          <w:sz w:val="16"/>
          <w:szCs w:val="16"/>
          <w:lang w:eastAsia="hu-HU"/>
        </w:rPr>
        <w:t>2089 Telki, Petőfi u.1.</w:t>
      </w:r>
    </w:p>
    <w:p w14:paraId="5B2FBB50" w14:textId="77777777" w:rsidR="00A01E98" w:rsidRPr="0090349D" w:rsidRDefault="00A01E98" w:rsidP="00A01E98">
      <w:pPr>
        <w:rPr>
          <w:rFonts w:eastAsia="Times New Roman" w:cs="Times New Roman"/>
          <w:lang w:eastAsia="hu-HU"/>
        </w:rPr>
      </w:pPr>
      <w:r w:rsidRPr="0090349D">
        <w:rPr>
          <w:rFonts w:eastAsia="Times New Roman" w:cs="Times New Roman"/>
          <w:color w:val="000000"/>
          <w:sz w:val="16"/>
          <w:szCs w:val="16"/>
          <w:lang w:eastAsia="hu-HU"/>
        </w:rPr>
        <w:t>Telefon: (06) 26 920 80</w:t>
      </w:r>
      <w:r>
        <w:rPr>
          <w:rFonts w:eastAsia="Times New Roman" w:cs="Times New Roman"/>
          <w:color w:val="000000"/>
          <w:sz w:val="16"/>
          <w:szCs w:val="16"/>
          <w:lang w:eastAsia="hu-HU"/>
        </w:rPr>
        <w:t>1</w:t>
      </w:r>
    </w:p>
    <w:p w14:paraId="5131E286" w14:textId="77777777" w:rsidR="00A01E98" w:rsidRPr="0090349D" w:rsidRDefault="00A01E98" w:rsidP="00A01E98">
      <w:pPr>
        <w:rPr>
          <w:rFonts w:eastAsia="Times New Roman" w:cs="Times New Roman"/>
          <w:lang w:eastAsia="hu-HU"/>
        </w:rPr>
      </w:pPr>
      <w:r w:rsidRPr="0090349D">
        <w:rPr>
          <w:rFonts w:eastAsia="Times New Roman" w:cs="Times New Roman"/>
          <w:color w:val="000000"/>
          <w:sz w:val="16"/>
          <w:szCs w:val="16"/>
          <w:lang w:eastAsia="hu-HU"/>
        </w:rPr>
        <w:t>E-</w:t>
      </w:r>
      <w:r>
        <w:rPr>
          <w:rFonts w:eastAsia="Times New Roman" w:cs="Times New Roman"/>
          <w:color w:val="000000"/>
          <w:sz w:val="16"/>
          <w:szCs w:val="16"/>
          <w:lang w:eastAsia="hu-HU"/>
        </w:rPr>
        <w:t>m</w:t>
      </w:r>
      <w:r w:rsidRPr="0090349D">
        <w:rPr>
          <w:rFonts w:eastAsia="Times New Roman" w:cs="Times New Roman"/>
          <w:color w:val="000000"/>
          <w:sz w:val="16"/>
          <w:szCs w:val="16"/>
          <w:lang w:eastAsia="hu-HU"/>
        </w:rPr>
        <w:t xml:space="preserve">ail: </w:t>
      </w:r>
      <w:hyperlink r:id="rId8" w:history="1">
        <w:r w:rsidRPr="0090349D">
          <w:rPr>
            <w:rFonts w:eastAsia="Times New Roman" w:cs="Times New Roman"/>
            <w:color w:val="0000FF"/>
            <w:sz w:val="16"/>
            <w:szCs w:val="16"/>
            <w:u w:val="single"/>
            <w:lang w:eastAsia="hu-HU"/>
          </w:rPr>
          <w:t>hivatal@telki.hu</w:t>
        </w:r>
      </w:hyperlink>
    </w:p>
    <w:p w14:paraId="01CC0F31" w14:textId="77777777" w:rsidR="00A01E98" w:rsidRPr="00916391" w:rsidRDefault="00A01E98" w:rsidP="00A01E98">
      <w:pPr>
        <w:rPr>
          <w:rFonts w:eastAsia="Times New Roman" w:cs="Times New Roman"/>
          <w:lang w:eastAsia="hu-HU"/>
        </w:rPr>
      </w:pPr>
      <w:hyperlink r:id="rId9" w:history="1">
        <w:r w:rsidRPr="0090349D">
          <w:rPr>
            <w:rFonts w:eastAsia="Times New Roman" w:cs="Times New Roman"/>
            <w:color w:val="000000"/>
            <w:sz w:val="16"/>
            <w:szCs w:val="16"/>
            <w:u w:val="single"/>
            <w:lang w:eastAsia="hu-HU"/>
          </w:rPr>
          <w:t>www.telki.hu</w:t>
        </w:r>
      </w:hyperlink>
    </w:p>
    <w:p w14:paraId="0C6F7C7B" w14:textId="77777777" w:rsidR="00A01E98" w:rsidRDefault="00A01E98" w:rsidP="00A01E98">
      <w:pPr>
        <w:jc w:val="center"/>
        <w:rPr>
          <w:rFonts w:cs="Times New Roman"/>
          <w:b/>
          <w:bCs/>
        </w:rPr>
      </w:pPr>
    </w:p>
    <w:p w14:paraId="2C073E93" w14:textId="77777777" w:rsidR="00A01E98" w:rsidRDefault="00A01E98" w:rsidP="00A01E98">
      <w:pPr>
        <w:jc w:val="center"/>
        <w:rPr>
          <w:rFonts w:cs="Times New Roman"/>
          <w:b/>
          <w:bCs/>
        </w:rPr>
      </w:pPr>
      <w:r w:rsidRPr="003052D2">
        <w:rPr>
          <w:rFonts w:cs="Times New Roman"/>
          <w:b/>
          <w:bCs/>
        </w:rPr>
        <w:t>Tájékoztatás változtatási tilalom elrendeléséről</w:t>
      </w:r>
    </w:p>
    <w:p w14:paraId="2CF8473D" w14:textId="77777777" w:rsidR="00A01E98" w:rsidRPr="003052D2" w:rsidRDefault="00A01E98" w:rsidP="00A01E98">
      <w:pPr>
        <w:jc w:val="center"/>
        <w:rPr>
          <w:rFonts w:cs="Times New Roman"/>
          <w:b/>
          <w:bCs/>
        </w:rPr>
      </w:pPr>
    </w:p>
    <w:p w14:paraId="4BD1C271" w14:textId="39BEB6AE" w:rsidR="00A01E98" w:rsidRPr="003052D2" w:rsidRDefault="00A01E98" w:rsidP="00A01E98">
      <w:pPr>
        <w:jc w:val="both"/>
        <w:rPr>
          <w:rFonts w:cs="Times New Roman"/>
          <w:b/>
          <w:bCs/>
        </w:rPr>
      </w:pPr>
      <w:r w:rsidRPr="003052D2">
        <w:rPr>
          <w:rFonts w:cs="Times New Roman"/>
          <w:b/>
          <w:bCs/>
        </w:rPr>
        <w:t>Tájékoztatom a Tisztelt lakosságot és az ingatlan tulajdonosokat, hogy Telki község Önkormányzat Képviselő-testülete 6/2026. (VI.16.) önkormányzati rendeletével változtatási tilalmat rendelt el a csatolt mellékletben lehatárolt területen található ingatlanokra.</w:t>
      </w:r>
    </w:p>
    <w:p w14:paraId="491D51FD" w14:textId="77777777" w:rsidR="00A01E98" w:rsidRDefault="00A01E98" w:rsidP="00A01E98">
      <w:pPr>
        <w:jc w:val="both"/>
        <w:rPr>
          <w:rFonts w:cs="Times New Roman"/>
        </w:rPr>
      </w:pPr>
    </w:p>
    <w:p w14:paraId="04DF2C7B" w14:textId="77777777" w:rsidR="00A01E98" w:rsidRPr="0070334D" w:rsidRDefault="00A01E98" w:rsidP="00A01E98">
      <w:pPr>
        <w:jc w:val="both"/>
        <w:rPr>
          <w:rFonts w:cs="Times New Roman"/>
          <w:sz w:val="22"/>
          <w:szCs w:val="22"/>
          <w:u w:val="single"/>
        </w:rPr>
      </w:pPr>
      <w:r w:rsidRPr="0070334D">
        <w:rPr>
          <w:rFonts w:cs="Times New Roman"/>
          <w:sz w:val="22"/>
          <w:szCs w:val="22"/>
          <w:u w:val="single"/>
        </w:rPr>
        <w:t>A változtatási tilalom elrendelésének indoka:</w:t>
      </w:r>
    </w:p>
    <w:p w14:paraId="00BA2ECC" w14:textId="647309C6" w:rsidR="00A01E98" w:rsidRPr="003052D2" w:rsidRDefault="00A01E98" w:rsidP="00A01E98">
      <w:pPr>
        <w:spacing w:line="278" w:lineRule="auto"/>
        <w:jc w:val="both"/>
        <w:rPr>
          <w:rFonts w:cs="Times New Roman"/>
          <w:sz w:val="22"/>
          <w:szCs w:val="22"/>
        </w:rPr>
      </w:pPr>
      <w:r w:rsidRPr="003052D2">
        <w:rPr>
          <w:rFonts w:cs="Times New Roman"/>
          <w:sz w:val="22"/>
          <w:szCs w:val="22"/>
        </w:rPr>
        <w:t xml:space="preserve">Az 1. számú mellékletben meghatározott területek esetében: A </w:t>
      </w:r>
      <w:r w:rsidRPr="0070334D">
        <w:rPr>
          <w:rFonts w:cs="Times New Roman"/>
          <w:sz w:val="22"/>
          <w:szCs w:val="22"/>
        </w:rPr>
        <w:t xml:space="preserve">változtatási </w:t>
      </w:r>
      <w:r w:rsidRPr="003052D2">
        <w:rPr>
          <w:rFonts w:cs="Times New Roman"/>
          <w:sz w:val="22"/>
          <w:szCs w:val="22"/>
        </w:rPr>
        <w:t>tilalom alá vont terület a Budajenői-patak mellett, a település mélyebben fekvő területén helyezkedik el. A pataktól északra fekvő telkek gyakran vízjárta, nádasos területek, melyek természetközeliségének megőrzése vizsgálandó. A pataktól délre elhelyezkedő telkek, az elhagyott tanyaépület kivételével, művelés alatt állnak vagy kaszálóként használtak. Elsődlegesen a beépíthetőség mértéke és módja, az építési hely, valamint az elhelyezhető rendeltetések köre és a tájbaillesztés szempontjai képezik a felülvizsgálat tárgyát</w:t>
      </w:r>
    </w:p>
    <w:p w14:paraId="01A1FFDC" w14:textId="77777777" w:rsidR="00A01E98" w:rsidRPr="0070334D" w:rsidRDefault="00A01E98" w:rsidP="00A01E98">
      <w:pPr>
        <w:jc w:val="both"/>
        <w:rPr>
          <w:rFonts w:cs="Times New Roman"/>
          <w:sz w:val="22"/>
          <w:szCs w:val="22"/>
        </w:rPr>
      </w:pPr>
    </w:p>
    <w:p w14:paraId="3EE153CB" w14:textId="77777777" w:rsidR="00A01E98" w:rsidRPr="0070334D" w:rsidRDefault="00A01E98" w:rsidP="00A01E98">
      <w:pPr>
        <w:jc w:val="both"/>
        <w:rPr>
          <w:rFonts w:cs="Times New Roman"/>
          <w:sz w:val="22"/>
          <w:szCs w:val="22"/>
        </w:rPr>
      </w:pPr>
      <w:r w:rsidRPr="003052D2">
        <w:rPr>
          <w:rFonts w:cs="Times New Roman"/>
          <w:sz w:val="22"/>
          <w:szCs w:val="22"/>
        </w:rPr>
        <w:t>Míg a 2.számú mellékletben meghatározott területek esetében:</w:t>
      </w:r>
      <w:r w:rsidRPr="0070334D">
        <w:rPr>
          <w:rFonts w:cs="Times New Roman"/>
          <w:sz w:val="22"/>
          <w:szCs w:val="22"/>
        </w:rPr>
        <w:t xml:space="preserve"> </w:t>
      </w:r>
      <w:r w:rsidRPr="003052D2">
        <w:rPr>
          <w:rFonts w:cs="Times New Roman"/>
          <w:sz w:val="22"/>
          <w:szCs w:val="22"/>
        </w:rPr>
        <w:t>A lakóegységek és kereskedelmi egységek számának felülvizsgálata, elsődlegesen a közlekedési problémák nézőpontjából.</w:t>
      </w:r>
    </w:p>
    <w:p w14:paraId="655872EA" w14:textId="77777777" w:rsidR="00A01E98" w:rsidRPr="0070334D" w:rsidRDefault="00A01E98" w:rsidP="00A01E98">
      <w:pPr>
        <w:jc w:val="both"/>
        <w:rPr>
          <w:rFonts w:cs="Times New Roman"/>
          <w:sz w:val="22"/>
          <w:szCs w:val="22"/>
        </w:rPr>
      </w:pPr>
    </w:p>
    <w:p w14:paraId="0D3D5646" w14:textId="77777777" w:rsidR="00A01E98" w:rsidRPr="0070334D" w:rsidRDefault="00A01E98" w:rsidP="00A01E98">
      <w:pPr>
        <w:jc w:val="both"/>
        <w:rPr>
          <w:rFonts w:cs="Times New Roman"/>
          <w:sz w:val="22"/>
          <w:szCs w:val="22"/>
        </w:rPr>
      </w:pPr>
      <w:r w:rsidRPr="0070334D">
        <w:rPr>
          <w:rFonts w:cs="Times New Roman"/>
          <w:sz w:val="22"/>
          <w:szCs w:val="22"/>
        </w:rPr>
        <w:t xml:space="preserve">Telki Község Önkormányzat képviselő-testülete 142 /2025.(X.27.) önkormányzati határozatában döntött a település új településfejlesztési, településrendezési tervének (együtt: településterv) elkészíttetéséről. </w:t>
      </w:r>
      <w:r>
        <w:rPr>
          <w:rFonts w:cs="Times New Roman"/>
          <w:sz w:val="22"/>
          <w:szCs w:val="22"/>
        </w:rPr>
        <w:t xml:space="preserve"> </w:t>
      </w:r>
      <w:r w:rsidRPr="003052D2">
        <w:rPr>
          <w:rFonts w:cs="Times New Roman"/>
          <w:sz w:val="22"/>
          <w:szCs w:val="22"/>
        </w:rPr>
        <w:t>Telki község településtervének elkészítésére az Önkormányzat a Kasib Komplex Kft-vel tervezési szerződést kötött 2025. december 16</w:t>
      </w:r>
      <w:r>
        <w:rPr>
          <w:rFonts w:cs="Times New Roman"/>
          <w:sz w:val="22"/>
          <w:szCs w:val="22"/>
        </w:rPr>
        <w:t>. napján</w:t>
      </w:r>
    </w:p>
    <w:p w14:paraId="0523780D" w14:textId="77777777" w:rsidR="00A01E98" w:rsidRPr="0070334D" w:rsidRDefault="00A01E98" w:rsidP="00A01E98">
      <w:pPr>
        <w:jc w:val="both"/>
        <w:rPr>
          <w:rFonts w:cs="Times New Roman"/>
          <w:sz w:val="22"/>
          <w:szCs w:val="22"/>
        </w:rPr>
      </w:pPr>
    </w:p>
    <w:p w14:paraId="3CC13C2D" w14:textId="77777777" w:rsidR="00A01E98" w:rsidRPr="003052D2" w:rsidRDefault="00A01E98" w:rsidP="00A01E98">
      <w:pPr>
        <w:spacing w:line="278" w:lineRule="auto"/>
        <w:jc w:val="both"/>
        <w:rPr>
          <w:rFonts w:cs="Times New Roman"/>
          <w:sz w:val="22"/>
          <w:szCs w:val="22"/>
        </w:rPr>
      </w:pPr>
      <w:r w:rsidRPr="003052D2">
        <w:rPr>
          <w:rFonts w:cs="Times New Roman"/>
          <w:sz w:val="22"/>
          <w:szCs w:val="22"/>
        </w:rPr>
        <w:t xml:space="preserve">Az önkormányzat – a partnerségi egyeztetési eljárásban közreműködők együttműködésével – </w:t>
      </w:r>
      <w:r w:rsidRPr="0070334D">
        <w:rPr>
          <w:rFonts w:cs="Times New Roman"/>
          <w:sz w:val="22"/>
          <w:szCs w:val="22"/>
        </w:rPr>
        <w:t>célja</w:t>
      </w:r>
      <w:r w:rsidRPr="003052D2">
        <w:rPr>
          <w:rFonts w:cs="Times New Roman"/>
          <w:sz w:val="22"/>
          <w:szCs w:val="22"/>
        </w:rPr>
        <w:t xml:space="preserve"> olyan új előírások és szabályozások megalkot</w:t>
      </w:r>
      <w:r w:rsidRPr="0070334D">
        <w:rPr>
          <w:rFonts w:cs="Times New Roman"/>
          <w:sz w:val="22"/>
          <w:szCs w:val="22"/>
        </w:rPr>
        <w:t>ása</w:t>
      </w:r>
      <w:r w:rsidRPr="003052D2">
        <w:rPr>
          <w:rFonts w:cs="Times New Roman"/>
          <w:sz w:val="22"/>
          <w:szCs w:val="22"/>
        </w:rPr>
        <w:t xml:space="preserve"> és elfogad</w:t>
      </w:r>
      <w:r w:rsidRPr="0070334D">
        <w:rPr>
          <w:rFonts w:cs="Times New Roman"/>
          <w:sz w:val="22"/>
          <w:szCs w:val="22"/>
        </w:rPr>
        <w:t>ás</w:t>
      </w:r>
      <w:r>
        <w:rPr>
          <w:rFonts w:cs="Times New Roman"/>
          <w:sz w:val="22"/>
          <w:szCs w:val="22"/>
        </w:rPr>
        <w:t>a</w:t>
      </w:r>
      <w:r w:rsidRPr="003052D2">
        <w:rPr>
          <w:rFonts w:cs="Times New Roman"/>
          <w:sz w:val="22"/>
          <w:szCs w:val="22"/>
        </w:rPr>
        <w:t>, amelyek maximálisan segítik a település tájértékeinek megtarthatóságát, úgy az épített környezet, mint a tájhasználat oldaláról.</w:t>
      </w:r>
    </w:p>
    <w:p w14:paraId="5C2E5FB1" w14:textId="77777777" w:rsidR="00A01E98" w:rsidRPr="0070334D" w:rsidRDefault="00A01E98" w:rsidP="00A01E98">
      <w:pPr>
        <w:jc w:val="both"/>
        <w:rPr>
          <w:rFonts w:cs="Times New Roman"/>
          <w:sz w:val="22"/>
          <w:szCs w:val="22"/>
        </w:rPr>
      </w:pPr>
    </w:p>
    <w:p w14:paraId="7A19DEDE" w14:textId="5CE78AA5" w:rsidR="00A01E98" w:rsidRPr="003052D2" w:rsidRDefault="00A01E98" w:rsidP="00A01E98">
      <w:pPr>
        <w:spacing w:line="278" w:lineRule="auto"/>
        <w:jc w:val="both"/>
        <w:rPr>
          <w:rFonts w:cs="Times New Roman"/>
          <w:sz w:val="22"/>
          <w:szCs w:val="22"/>
        </w:rPr>
      </w:pPr>
      <w:r w:rsidRPr="003052D2">
        <w:rPr>
          <w:rFonts w:cs="Times New Roman"/>
          <w:sz w:val="22"/>
          <w:szCs w:val="22"/>
        </w:rPr>
        <w:t>Fentiek alapján, míg az új szabályozás el nem készül, változtatási tilalom került elrendelésre a</w:t>
      </w:r>
      <w:r w:rsidRPr="0070334D">
        <w:rPr>
          <w:rFonts w:cs="Times New Roman"/>
          <w:sz w:val="22"/>
          <w:szCs w:val="22"/>
        </w:rPr>
        <w:t>z érintett ingatlanokra. Erre a döntésre</w:t>
      </w:r>
      <w:r w:rsidRPr="003052D2">
        <w:rPr>
          <w:rFonts w:cs="Times New Roman"/>
          <w:sz w:val="22"/>
          <w:szCs w:val="22"/>
        </w:rPr>
        <w:t xml:space="preserve"> az </w:t>
      </w:r>
      <w:r w:rsidRPr="0070334D">
        <w:rPr>
          <w:sz w:val="22"/>
          <w:szCs w:val="22"/>
        </w:rPr>
        <w:t>magyar építészetről szóló 2023. évi C. törvény 85-87</w:t>
      </w:r>
      <w:r w:rsidRPr="003052D2">
        <w:rPr>
          <w:rFonts w:cs="Times New Roman"/>
          <w:sz w:val="22"/>
          <w:szCs w:val="22"/>
        </w:rPr>
        <w:t>.§-ai adnak lehetőséget</w:t>
      </w:r>
      <w:r>
        <w:rPr>
          <w:rFonts w:cs="Times New Roman"/>
          <w:sz w:val="22"/>
          <w:szCs w:val="22"/>
        </w:rPr>
        <w:t xml:space="preserve"> az önkormányzatnak.</w:t>
      </w:r>
    </w:p>
    <w:p w14:paraId="4D87D51F" w14:textId="77777777" w:rsidR="00A01E98" w:rsidRPr="0070334D" w:rsidRDefault="00A01E98" w:rsidP="00A01E98">
      <w:pPr>
        <w:rPr>
          <w:rFonts w:cs="Times New Roman"/>
          <w:sz w:val="22"/>
          <w:szCs w:val="22"/>
        </w:rPr>
      </w:pPr>
    </w:p>
    <w:p w14:paraId="6F07E472" w14:textId="77777777" w:rsidR="00A01E98" w:rsidRPr="0070334D" w:rsidRDefault="00A01E98" w:rsidP="00A01E98">
      <w:pPr>
        <w:rPr>
          <w:rFonts w:cs="Times New Roman"/>
          <w:sz w:val="22"/>
          <w:szCs w:val="22"/>
        </w:rPr>
      </w:pPr>
      <w:r w:rsidRPr="003052D2">
        <w:rPr>
          <w:rFonts w:cs="Times New Roman"/>
          <w:sz w:val="22"/>
          <w:szCs w:val="22"/>
        </w:rPr>
        <w:t>A változtatási tilalomról szóló rendelet kihirdetésének időpontja: 202</w:t>
      </w:r>
      <w:r w:rsidRPr="0070334D">
        <w:rPr>
          <w:rFonts w:cs="Times New Roman"/>
          <w:sz w:val="22"/>
          <w:szCs w:val="22"/>
        </w:rPr>
        <w:t>6</w:t>
      </w:r>
      <w:r w:rsidRPr="003052D2">
        <w:rPr>
          <w:rFonts w:cs="Times New Roman"/>
          <w:sz w:val="22"/>
          <w:szCs w:val="22"/>
        </w:rPr>
        <w:t xml:space="preserve">. </w:t>
      </w:r>
      <w:r w:rsidRPr="0070334D">
        <w:rPr>
          <w:rFonts w:cs="Times New Roman"/>
          <w:sz w:val="22"/>
          <w:szCs w:val="22"/>
        </w:rPr>
        <w:t>június 16</w:t>
      </w:r>
      <w:r w:rsidRPr="003052D2">
        <w:rPr>
          <w:rFonts w:cs="Times New Roman"/>
          <w:sz w:val="22"/>
          <w:szCs w:val="22"/>
        </w:rPr>
        <w:t>.</w:t>
      </w:r>
    </w:p>
    <w:p w14:paraId="1CD3CF9E" w14:textId="77777777" w:rsidR="00A01E98" w:rsidRPr="003052D2" w:rsidRDefault="00A01E98" w:rsidP="00A01E98">
      <w:pPr>
        <w:spacing w:line="278" w:lineRule="auto"/>
        <w:rPr>
          <w:rFonts w:cs="Times New Roman"/>
          <w:sz w:val="22"/>
          <w:szCs w:val="22"/>
        </w:rPr>
      </w:pPr>
      <w:r w:rsidRPr="0070334D">
        <w:rPr>
          <w:rFonts w:cs="Times New Roman"/>
          <w:sz w:val="22"/>
          <w:szCs w:val="22"/>
        </w:rPr>
        <w:t>H</w:t>
      </w:r>
      <w:r w:rsidRPr="003052D2">
        <w:rPr>
          <w:rFonts w:cs="Times New Roman"/>
          <w:sz w:val="22"/>
          <w:szCs w:val="22"/>
        </w:rPr>
        <w:t>atályba lépésének időpontja: 202</w:t>
      </w:r>
      <w:r w:rsidRPr="0070334D">
        <w:rPr>
          <w:rFonts w:cs="Times New Roman"/>
          <w:sz w:val="22"/>
          <w:szCs w:val="22"/>
        </w:rPr>
        <w:t>6. június 16</w:t>
      </w:r>
      <w:r w:rsidRPr="003052D2">
        <w:rPr>
          <w:rFonts w:cs="Times New Roman"/>
          <w:sz w:val="22"/>
          <w:szCs w:val="22"/>
        </w:rPr>
        <w:t>.</w:t>
      </w:r>
    </w:p>
    <w:p w14:paraId="04D0B0F3" w14:textId="77777777" w:rsidR="00A01E98" w:rsidRPr="0070334D" w:rsidRDefault="00A01E98" w:rsidP="00A01E98">
      <w:pPr>
        <w:pStyle w:val="NormlWeb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552117DE" w14:textId="77777777" w:rsidR="00A01E98" w:rsidRPr="0070334D" w:rsidRDefault="00A01E98" w:rsidP="00A01E98">
      <w:pPr>
        <w:pStyle w:val="NormlWeb"/>
        <w:spacing w:before="0" w:beforeAutospacing="0" w:after="0" w:afterAutospacing="0"/>
        <w:jc w:val="both"/>
        <w:rPr>
          <w:sz w:val="22"/>
          <w:szCs w:val="22"/>
        </w:rPr>
      </w:pPr>
      <w:r w:rsidRPr="0070334D">
        <w:rPr>
          <w:color w:val="000000"/>
          <w:sz w:val="22"/>
          <w:szCs w:val="22"/>
        </w:rPr>
        <w:t xml:space="preserve">A változtatási tilalom elrendelésének szabályait </w:t>
      </w:r>
      <w:r w:rsidRPr="0070334D">
        <w:rPr>
          <w:sz w:val="22"/>
          <w:szCs w:val="22"/>
        </w:rPr>
        <w:t xml:space="preserve">a magyar építészetről szóló 2023. évi C. törvény az alábbiak szerint szabályozza: </w:t>
      </w:r>
    </w:p>
    <w:p w14:paraId="719D8553" w14:textId="77777777" w:rsidR="00A01E98" w:rsidRPr="0070334D" w:rsidRDefault="00A01E98" w:rsidP="00A01E98">
      <w:pPr>
        <w:pStyle w:val="NormlWeb"/>
        <w:spacing w:before="0" w:beforeAutospacing="0" w:after="0" w:afterAutospacing="0"/>
        <w:jc w:val="both"/>
        <w:rPr>
          <w:i/>
          <w:iCs/>
          <w:sz w:val="22"/>
          <w:szCs w:val="22"/>
        </w:rPr>
      </w:pPr>
    </w:p>
    <w:p w14:paraId="4310ADA6" w14:textId="77777777" w:rsidR="00A01E98" w:rsidRPr="00AE1659" w:rsidRDefault="00A01E98" w:rsidP="00A01E98">
      <w:pPr>
        <w:pStyle w:val="NormlWeb"/>
        <w:spacing w:before="0" w:beforeAutospacing="0" w:after="0" w:afterAutospacing="0"/>
        <w:jc w:val="both"/>
        <w:rPr>
          <w:i/>
          <w:iCs/>
          <w:color w:val="000000"/>
          <w:sz w:val="22"/>
          <w:szCs w:val="22"/>
        </w:rPr>
      </w:pPr>
      <w:r w:rsidRPr="00AE1659">
        <w:rPr>
          <w:i/>
          <w:iCs/>
          <w:sz w:val="22"/>
          <w:szCs w:val="22"/>
        </w:rPr>
        <w:t xml:space="preserve">85. § [A tilalmak] </w:t>
      </w:r>
    </w:p>
    <w:p w14:paraId="71E293BE" w14:textId="77777777" w:rsidR="00A01E98" w:rsidRPr="00AE1659" w:rsidRDefault="00A01E98" w:rsidP="00A01E98">
      <w:pPr>
        <w:pStyle w:val="Norm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AE1659">
        <w:rPr>
          <w:i/>
          <w:iCs/>
          <w:sz w:val="22"/>
          <w:szCs w:val="22"/>
        </w:rPr>
        <w:t xml:space="preserve">(1) Önkormányzati rendeletben a helyi önkormányzat képviselő-testülete pontosan körülhatárolt területre változtatási tilalmat, illetve telekalakítási és építési tilalmat állapíthat meg. Az elrendelt tilalomról, korlátozásról vagy ezek megszüntetéséről a települési önkormányzat képviselő-testülete (a fővárosban a fővárosi önkormányzat közgyűlése, illetve a kerületi önkormányzat képviselő-testülete) a főjegyző, illetve a jegyző útján tájékoztatja az érintetteket. </w:t>
      </w:r>
    </w:p>
    <w:p w14:paraId="1C4AC315" w14:textId="77777777" w:rsidR="00A01E98" w:rsidRPr="00AE1659" w:rsidRDefault="00A01E98" w:rsidP="00A01E98">
      <w:pPr>
        <w:pStyle w:val="Norm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AE1659">
        <w:rPr>
          <w:i/>
          <w:iCs/>
          <w:sz w:val="22"/>
          <w:szCs w:val="22"/>
        </w:rPr>
        <w:t>(2) Külön hatósági határozattal a természeti és a környezeti veszélyeztetettség megelőzése érdekében és a jogszabályi követelmények érvényesítésére a környezetvédelmi vagy a természetvédelmi hatóság változtatási tilalmat, illetve telekalakítási és építési tilalmat állapíthat meg. A határozatban meg kell jelölni azt az érdeket, amelynek érvényre juttatását a tilalom szolgálja, továbbá azt, akinek vagy aminek az érdekében a tilalmat elrendelik. A határozattal elrendelt tilalomról, korlátozásról vagy ezek megszüntetéséről az érintett hatóságot és az érintett települési önkormányzatot tájékoztatni kell.</w:t>
      </w:r>
    </w:p>
    <w:p w14:paraId="7B2AB532" w14:textId="77777777" w:rsidR="00A01E98" w:rsidRPr="00AE1659" w:rsidRDefault="00A01E98" w:rsidP="00A01E98">
      <w:pPr>
        <w:pStyle w:val="Norm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AE1659">
        <w:rPr>
          <w:i/>
          <w:iCs/>
          <w:sz w:val="22"/>
          <w:szCs w:val="22"/>
        </w:rPr>
        <w:t xml:space="preserve">(3) A tilalmat a feltétlenül szükséges mértékre és időtartamra kell korlátozni, és azt haladéktalanul meg kell szüntetni, ha az elrendelésének alapjául szolgáló okok már nem állnak fenn. A telekalakítási és építési tilalom felülvizsgálatát a </w:t>
      </w:r>
      <w:r w:rsidRPr="00AE1659">
        <w:rPr>
          <w:i/>
          <w:iCs/>
          <w:sz w:val="22"/>
          <w:szCs w:val="22"/>
        </w:rPr>
        <w:lastRenderedPageBreak/>
        <w:t xml:space="preserve">helyi építési szabályzat módosításával együtt el kell végezni. A változtatási tilalom időtartamára a 86. § (2) bekezdésében foglaltak az irányadók. </w:t>
      </w:r>
    </w:p>
    <w:p w14:paraId="307644B0" w14:textId="77777777" w:rsidR="00A01E98" w:rsidRPr="00AE1659" w:rsidRDefault="00A01E98" w:rsidP="00A01E98">
      <w:pPr>
        <w:pStyle w:val="Norm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AE1659">
        <w:rPr>
          <w:i/>
          <w:iCs/>
          <w:sz w:val="22"/>
          <w:szCs w:val="22"/>
        </w:rPr>
        <w:t xml:space="preserve">(4) A tilalom nem terjed ki: </w:t>
      </w:r>
    </w:p>
    <w:p w14:paraId="4435E1CA" w14:textId="77777777" w:rsidR="00A01E98" w:rsidRPr="00AE1659" w:rsidRDefault="00A01E98" w:rsidP="00A01E98">
      <w:pPr>
        <w:pStyle w:val="Norm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AE1659">
        <w:rPr>
          <w:i/>
          <w:iCs/>
          <w:sz w:val="22"/>
          <w:szCs w:val="22"/>
        </w:rPr>
        <w:t xml:space="preserve">a) a tilalom hatálybalépésekor hatályos hatósági engedéllyel vagy tudomásulvétellel megvalósuló építési, javításikarbantartási és a jogszabályokban megengedett más építési munkákra, valamint a tudomásulvétel alapján megkezdett építési tevékenységre, </w:t>
      </w:r>
    </w:p>
    <w:p w14:paraId="6223D1A8" w14:textId="77777777" w:rsidR="00A01E98" w:rsidRPr="00AE1659" w:rsidRDefault="00A01E98" w:rsidP="00A01E98">
      <w:pPr>
        <w:pStyle w:val="Norm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AE1659">
        <w:rPr>
          <w:i/>
          <w:iCs/>
          <w:sz w:val="22"/>
          <w:szCs w:val="22"/>
        </w:rPr>
        <w:t xml:space="preserve">b) a korábban gyakorolt használat folytatására, </w:t>
      </w:r>
    </w:p>
    <w:p w14:paraId="132EFA9E" w14:textId="77777777" w:rsidR="00A01E98" w:rsidRPr="00AE1659" w:rsidRDefault="00A01E98" w:rsidP="00A01E98">
      <w:pPr>
        <w:pStyle w:val="Norm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AE1659">
        <w:rPr>
          <w:i/>
          <w:iCs/>
          <w:sz w:val="22"/>
          <w:szCs w:val="22"/>
        </w:rPr>
        <w:t xml:space="preserve">c) az állékonyságot, életet és egészséget, köz- és vagyonbiztonságot veszélyeztető kármegelőzési, kárelhárítási tevékenységre, </w:t>
      </w:r>
    </w:p>
    <w:p w14:paraId="0C51380C" w14:textId="77777777" w:rsidR="00A01E98" w:rsidRPr="00AE1659" w:rsidRDefault="00A01E98" w:rsidP="00A01E98">
      <w:pPr>
        <w:pStyle w:val="Norm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AE1659">
        <w:rPr>
          <w:i/>
          <w:iCs/>
          <w:sz w:val="22"/>
          <w:szCs w:val="22"/>
        </w:rPr>
        <w:t xml:space="preserve">d) az a) pont szerinti, hatósági engedélyhez kötött építési munkáknak a településrendezési követelményeket nem érintő kivitelezésére, e) a honvédelmi és katonai célú területre, és </w:t>
      </w:r>
    </w:p>
    <w:p w14:paraId="22DFE420" w14:textId="77777777" w:rsidR="00A01E98" w:rsidRPr="00AE1659" w:rsidRDefault="00A01E98" w:rsidP="00A01E98">
      <w:pPr>
        <w:pStyle w:val="Norm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AE1659">
        <w:rPr>
          <w:i/>
          <w:iCs/>
          <w:sz w:val="22"/>
          <w:szCs w:val="22"/>
        </w:rPr>
        <w:t xml:space="preserve">f) összehangolt védelmi tevékenység, illetve tömeges bevándorlás okozta válsághelyzet esetén a nemzetbiztonsági célú építmények elhelyezésére szolgáló területre. </w:t>
      </w:r>
    </w:p>
    <w:p w14:paraId="023F6935" w14:textId="77777777" w:rsidR="00A01E98" w:rsidRPr="00AE1659" w:rsidRDefault="00A01E98" w:rsidP="00A01E98">
      <w:pPr>
        <w:pStyle w:val="NormlWeb"/>
        <w:spacing w:before="0" w:beforeAutospacing="0" w:after="0" w:afterAutospacing="0"/>
        <w:jc w:val="both"/>
        <w:rPr>
          <w:i/>
          <w:iCs/>
          <w:sz w:val="22"/>
          <w:szCs w:val="22"/>
        </w:rPr>
      </w:pPr>
    </w:p>
    <w:p w14:paraId="55B3D7F7" w14:textId="77777777" w:rsidR="00A01E98" w:rsidRPr="00AE1659" w:rsidRDefault="00A01E98" w:rsidP="00A01E98">
      <w:pPr>
        <w:pStyle w:val="Norm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AE1659">
        <w:rPr>
          <w:i/>
          <w:iCs/>
          <w:sz w:val="22"/>
          <w:szCs w:val="22"/>
        </w:rPr>
        <w:t xml:space="preserve">86. § [A változtatási tilalom tartalma] </w:t>
      </w:r>
    </w:p>
    <w:p w14:paraId="6F710409" w14:textId="77777777" w:rsidR="00A01E98" w:rsidRPr="00AE1659" w:rsidRDefault="00A01E98" w:rsidP="00A01E98">
      <w:pPr>
        <w:pStyle w:val="Norm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AE1659">
        <w:rPr>
          <w:i/>
          <w:iCs/>
          <w:sz w:val="22"/>
          <w:szCs w:val="22"/>
        </w:rPr>
        <w:t xml:space="preserve">(1) A helyi építési szabályzat készítésének időszakára – a településtervezési szerződés megkötésétől a helyi építési szabályzatról szóló rendelet hatálybalépéséig, de legfeljebb három évre – az érintett területre a települési önkormányzat rendelettel változtatási tilalmat írhat elő. </w:t>
      </w:r>
    </w:p>
    <w:p w14:paraId="5DB4ADED" w14:textId="77777777" w:rsidR="00A01E98" w:rsidRPr="00AE1659" w:rsidRDefault="00A01E98" w:rsidP="00A01E98">
      <w:pPr>
        <w:pStyle w:val="Norm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AE1659">
        <w:rPr>
          <w:i/>
          <w:iCs/>
          <w:sz w:val="22"/>
          <w:szCs w:val="22"/>
        </w:rPr>
        <w:t xml:space="preserve">(2) A változtatási tilalom – ha az azt elrendelő önkormányzati rendelet rövidebb időről nem rendelkezik – három év eltelte után külön rendelkezés nélkül megszűnik. A változtatási tilalom megszűnését követő két éven belül a változtatási tilalommal érintett területre, építési telekre vagy telekre változtatási, valamint telekalakítási és építési tilalmat nem lehet elrendelni. </w:t>
      </w:r>
    </w:p>
    <w:p w14:paraId="77814339" w14:textId="77777777" w:rsidR="00A01E98" w:rsidRPr="00AE1659" w:rsidRDefault="00A01E98" w:rsidP="00A01E98">
      <w:pPr>
        <w:pStyle w:val="Norm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AE1659">
        <w:rPr>
          <w:i/>
          <w:iCs/>
          <w:sz w:val="22"/>
          <w:szCs w:val="22"/>
        </w:rPr>
        <w:t xml:space="preserve">(3) A külön hatósági határozattal elrendelt változtatási tilalom időtartama legfeljebb három év lehet. A külön hatósági határozattal elrendelt változtatási tilalmat az azt elrendelő hatóság felhívására az ingatlan-nyilvántartásba be kell jegyezni. </w:t>
      </w:r>
    </w:p>
    <w:p w14:paraId="34FCD1A7" w14:textId="77777777" w:rsidR="00A01E98" w:rsidRPr="00AE1659" w:rsidRDefault="00A01E98" w:rsidP="00A01E98">
      <w:pPr>
        <w:pStyle w:val="Norm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AE1659">
        <w:rPr>
          <w:i/>
          <w:iCs/>
          <w:sz w:val="22"/>
          <w:szCs w:val="22"/>
        </w:rPr>
        <w:t xml:space="preserve">(4) A változtatási tilalom alá eső területen – a 85. § (4) bekezdésében foglalt esetek kivételével – telket alakítani, új építményt létesíteni, meglévő építményt átalakítani, bővíteni, elbontani, továbbá más, hatósági engedélyhez vagy egyszerű bejelentéshez nem kötött értéknövelő változtatást végrehajtani nem szabad. </w:t>
      </w:r>
    </w:p>
    <w:p w14:paraId="6203B587" w14:textId="77777777" w:rsidR="00A01E98" w:rsidRPr="00AE1659" w:rsidRDefault="00A01E98" w:rsidP="00A01E98">
      <w:pPr>
        <w:pStyle w:val="NormlWeb"/>
        <w:spacing w:before="0" w:beforeAutospacing="0" w:after="0" w:afterAutospacing="0"/>
        <w:jc w:val="both"/>
        <w:rPr>
          <w:i/>
          <w:iCs/>
          <w:sz w:val="22"/>
          <w:szCs w:val="22"/>
        </w:rPr>
      </w:pPr>
    </w:p>
    <w:p w14:paraId="4357EF48" w14:textId="77777777" w:rsidR="00A01E98" w:rsidRPr="00AE1659" w:rsidRDefault="00A01E98" w:rsidP="00A01E98">
      <w:pPr>
        <w:pStyle w:val="Norm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AE1659">
        <w:rPr>
          <w:i/>
          <w:iCs/>
          <w:sz w:val="22"/>
          <w:szCs w:val="22"/>
        </w:rPr>
        <w:t xml:space="preserve">87. § [A telekalakítási és építési tilalom tartalma] </w:t>
      </w:r>
    </w:p>
    <w:p w14:paraId="1F8384EF" w14:textId="77777777" w:rsidR="00A01E98" w:rsidRPr="00AE1659" w:rsidRDefault="00A01E98" w:rsidP="00A01E98">
      <w:pPr>
        <w:pStyle w:val="Norm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AE1659">
        <w:rPr>
          <w:i/>
          <w:iCs/>
          <w:sz w:val="22"/>
          <w:szCs w:val="22"/>
        </w:rPr>
        <w:t xml:space="preserve">(1) Telekalakítási és építési tilalom rendelhető el </w:t>
      </w:r>
    </w:p>
    <w:p w14:paraId="138F8E42" w14:textId="77777777" w:rsidR="00A01E98" w:rsidRPr="00AE1659" w:rsidRDefault="00A01E98" w:rsidP="00A01E98">
      <w:pPr>
        <w:pStyle w:val="Norm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AE1659">
        <w:rPr>
          <w:i/>
          <w:iCs/>
          <w:sz w:val="22"/>
          <w:szCs w:val="22"/>
        </w:rPr>
        <w:t xml:space="preserve">a) a településrendezési feladatok megvalósítása vagy végrehajtása céljából, </w:t>
      </w:r>
    </w:p>
    <w:p w14:paraId="05512DC2" w14:textId="77777777" w:rsidR="00A01E98" w:rsidRPr="00AE1659" w:rsidRDefault="00A01E98" w:rsidP="00A01E98">
      <w:pPr>
        <w:pStyle w:val="Norm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AE1659">
        <w:rPr>
          <w:i/>
          <w:iCs/>
          <w:sz w:val="22"/>
          <w:szCs w:val="22"/>
        </w:rPr>
        <w:t xml:space="preserve">b) a természeti vagy környezeti veszélyeztetettség megelőzése, illetve a természet védelméről és a környezet védelmének általános szabályairól szóló törvényben foglaltak érvényre juttatása érdekében, </w:t>
      </w:r>
    </w:p>
    <w:p w14:paraId="16550C4C" w14:textId="77777777" w:rsidR="00A01E98" w:rsidRPr="00AE1659" w:rsidRDefault="00A01E98" w:rsidP="00A01E98">
      <w:pPr>
        <w:pStyle w:val="Norm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AE1659">
        <w:rPr>
          <w:i/>
          <w:iCs/>
          <w:sz w:val="22"/>
          <w:szCs w:val="22"/>
        </w:rPr>
        <w:t xml:space="preserve">c) műemléki jelentőségű terület, műemléki környezet, történeti táj egységes, hagyományos struktúrájának, a történeti értéket hordozó táj- és területhasználat megőrzésének, az építészeti és régészeti örökség megóvásának érdekében. </w:t>
      </w:r>
    </w:p>
    <w:p w14:paraId="57C58883" w14:textId="77777777" w:rsidR="00A01E98" w:rsidRPr="00AE1659" w:rsidRDefault="00A01E98" w:rsidP="00A01E98">
      <w:pPr>
        <w:pStyle w:val="Norm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AE1659">
        <w:rPr>
          <w:i/>
          <w:iCs/>
          <w:sz w:val="22"/>
          <w:szCs w:val="22"/>
        </w:rPr>
        <w:t xml:space="preserve">(2) A telekalakítási és építési tilalmat az azt elrendelő hatóság felhívására az ingatlan-nyilvántartásba be kell jegyezni. </w:t>
      </w:r>
    </w:p>
    <w:p w14:paraId="5012FFAD" w14:textId="77777777" w:rsidR="00A01E98" w:rsidRPr="00AE1659" w:rsidRDefault="00A01E98" w:rsidP="00A01E98">
      <w:pPr>
        <w:pStyle w:val="Norm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AE1659">
        <w:rPr>
          <w:i/>
          <w:iCs/>
          <w:sz w:val="22"/>
          <w:szCs w:val="22"/>
        </w:rPr>
        <w:t xml:space="preserve">(3) A telekalakítási és építési tilalom alá eső területen </w:t>
      </w:r>
    </w:p>
    <w:p w14:paraId="03E773E2" w14:textId="77777777" w:rsidR="00A01E98" w:rsidRPr="00AE1659" w:rsidRDefault="00A01E98" w:rsidP="00A01E98">
      <w:pPr>
        <w:pStyle w:val="Norm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AE1659">
        <w:rPr>
          <w:i/>
          <w:iCs/>
          <w:sz w:val="22"/>
          <w:szCs w:val="22"/>
        </w:rPr>
        <w:t xml:space="preserve">a) a bontási munkák, </w:t>
      </w:r>
    </w:p>
    <w:p w14:paraId="61554505" w14:textId="77777777" w:rsidR="00A01E98" w:rsidRPr="00AE1659" w:rsidRDefault="00A01E98" w:rsidP="00A01E98">
      <w:pPr>
        <w:pStyle w:val="Norm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AE1659">
        <w:rPr>
          <w:i/>
          <w:iCs/>
          <w:sz w:val="22"/>
          <w:szCs w:val="22"/>
        </w:rPr>
        <w:t xml:space="preserve">b) az építészeti örökség védelme, a régészet, a környezet- vagy a természetvédelem érdekében szükséges építési munkák, </w:t>
      </w:r>
    </w:p>
    <w:p w14:paraId="1F45B932" w14:textId="77777777" w:rsidR="00A01E98" w:rsidRPr="00AE1659" w:rsidRDefault="00A01E98" w:rsidP="00A01E98">
      <w:pPr>
        <w:pStyle w:val="Norm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AE1659">
        <w:rPr>
          <w:i/>
          <w:iCs/>
          <w:sz w:val="22"/>
          <w:szCs w:val="22"/>
        </w:rPr>
        <w:t xml:space="preserve">c) a meglévő építménynek állagmegóvási, akadálymentesítési, valamint a terület jövőbeni rendeltetésének megfelelő átalakításával, korszerűsítésével kapcsolatos építési munkák, </w:t>
      </w:r>
    </w:p>
    <w:p w14:paraId="50DE679D" w14:textId="77777777" w:rsidR="00A01E98" w:rsidRPr="00AE1659" w:rsidRDefault="00A01E98" w:rsidP="00A01E98">
      <w:pPr>
        <w:pStyle w:val="Norm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AE1659">
        <w:rPr>
          <w:i/>
          <w:iCs/>
          <w:sz w:val="22"/>
          <w:szCs w:val="22"/>
        </w:rPr>
        <w:t xml:space="preserve">d) a meglévő lakóépület új, önálló lakást nem eredményező, legfeljebb egy alkalommal 25 m2 hasznos alapterületet növelő átalakítása, felújítása, és </w:t>
      </w:r>
    </w:p>
    <w:p w14:paraId="7F39D191" w14:textId="77777777" w:rsidR="00A01E98" w:rsidRPr="00AE1659" w:rsidRDefault="00A01E98" w:rsidP="00A01E98">
      <w:pPr>
        <w:pStyle w:val="Norm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AE1659">
        <w:rPr>
          <w:i/>
          <w:iCs/>
          <w:sz w:val="22"/>
          <w:szCs w:val="22"/>
        </w:rPr>
        <w:t xml:space="preserve">e) az összehangolt védelmi tevékenység, illetve tömeges bevándorlás okozta válsághelyzet esetén a nemzetbiztonsági célú építmények, építési tevékenységeinek végzése kivételével más építési munkát végezni nem szabad, és telket alakítani tilos. </w:t>
      </w:r>
    </w:p>
    <w:p w14:paraId="68299837" w14:textId="77777777" w:rsidR="00A01E98" w:rsidRDefault="00A01E98" w:rsidP="00A01E98">
      <w:pPr>
        <w:rPr>
          <w:rFonts w:cs="Times New Roman"/>
        </w:rPr>
      </w:pPr>
    </w:p>
    <w:p w14:paraId="1EC16F97" w14:textId="77777777" w:rsidR="00A01E98" w:rsidRPr="0070334D" w:rsidRDefault="00A01E98" w:rsidP="00A01E98">
      <w:pPr>
        <w:jc w:val="both"/>
        <w:rPr>
          <w:rFonts w:cs="Times New Roman"/>
        </w:rPr>
      </w:pPr>
      <w:r w:rsidRPr="0070334D">
        <w:rPr>
          <w:rFonts w:eastAsia="Calibri" w:cs="Times New Roman"/>
          <w:sz w:val="22"/>
          <w:szCs w:val="22"/>
        </w:rPr>
        <w:t>A Képviselő-testület a változtatási tilalmat maximálisan 3 évre rendelheti el, de jelen esetben a tilalmat a készülő új Építési Szabályzat módosításának idejére, ehhez kötötten javasolt elrendelni, és az új szabályozási terv elfogadásával egyidejűleg hatályon kívül kell helyezni.</w:t>
      </w:r>
    </w:p>
    <w:p w14:paraId="7DE2C620" w14:textId="77777777" w:rsidR="00A01E98" w:rsidRDefault="00A01E98" w:rsidP="00A01E98">
      <w:pPr>
        <w:rPr>
          <w:rFonts w:cs="Times New Roman"/>
        </w:rPr>
      </w:pPr>
    </w:p>
    <w:p w14:paraId="7FD7A465" w14:textId="77777777" w:rsidR="00A01E98" w:rsidRPr="0070334D" w:rsidRDefault="00A01E98" w:rsidP="00A01E98">
      <w:pPr>
        <w:rPr>
          <w:rFonts w:cs="Times New Roman"/>
          <w:sz w:val="22"/>
          <w:szCs w:val="22"/>
        </w:rPr>
      </w:pPr>
      <w:r w:rsidRPr="003052D2">
        <w:rPr>
          <w:rFonts w:cs="Times New Roman"/>
          <w:sz w:val="22"/>
          <w:szCs w:val="22"/>
        </w:rPr>
        <w:t>Telki, 202</w:t>
      </w:r>
      <w:r w:rsidRPr="0070334D">
        <w:rPr>
          <w:rFonts w:cs="Times New Roman"/>
          <w:sz w:val="22"/>
          <w:szCs w:val="22"/>
        </w:rPr>
        <w:t>6</w:t>
      </w:r>
      <w:r w:rsidRPr="003052D2">
        <w:rPr>
          <w:rFonts w:cs="Times New Roman"/>
          <w:sz w:val="22"/>
          <w:szCs w:val="22"/>
        </w:rPr>
        <w:t xml:space="preserve">. </w:t>
      </w:r>
      <w:r w:rsidRPr="0070334D">
        <w:rPr>
          <w:rFonts w:cs="Times New Roman"/>
          <w:sz w:val="22"/>
          <w:szCs w:val="22"/>
        </w:rPr>
        <w:t>június</w:t>
      </w:r>
      <w:r w:rsidRPr="003052D2">
        <w:rPr>
          <w:rFonts w:cs="Times New Roman"/>
          <w:sz w:val="22"/>
          <w:szCs w:val="22"/>
        </w:rPr>
        <w:t xml:space="preserve"> 1</w:t>
      </w:r>
      <w:r w:rsidRPr="0070334D">
        <w:rPr>
          <w:rFonts w:cs="Times New Roman"/>
          <w:sz w:val="22"/>
          <w:szCs w:val="22"/>
        </w:rPr>
        <w:t>6</w:t>
      </w:r>
      <w:r w:rsidRPr="003052D2">
        <w:rPr>
          <w:rFonts w:cs="Times New Roman"/>
          <w:sz w:val="22"/>
          <w:szCs w:val="22"/>
        </w:rPr>
        <w:t>.</w:t>
      </w:r>
    </w:p>
    <w:p w14:paraId="0ECAB0C1" w14:textId="77777777" w:rsidR="00A01E98" w:rsidRPr="0070334D" w:rsidRDefault="00A01E98" w:rsidP="00A01E98">
      <w:pPr>
        <w:rPr>
          <w:rFonts w:cs="Times New Roman"/>
          <w:sz w:val="22"/>
          <w:szCs w:val="22"/>
        </w:rPr>
      </w:pPr>
      <w:r w:rsidRPr="0070334D">
        <w:rPr>
          <w:rFonts w:cs="Times New Roman"/>
          <w:sz w:val="22"/>
          <w:szCs w:val="22"/>
        </w:rPr>
        <w:tab/>
      </w:r>
      <w:r w:rsidRPr="0070334D">
        <w:rPr>
          <w:rFonts w:cs="Times New Roman"/>
          <w:sz w:val="22"/>
          <w:szCs w:val="22"/>
        </w:rPr>
        <w:tab/>
      </w:r>
      <w:r w:rsidRPr="0070334D">
        <w:rPr>
          <w:rFonts w:cs="Times New Roman"/>
          <w:sz w:val="22"/>
          <w:szCs w:val="22"/>
        </w:rPr>
        <w:tab/>
      </w:r>
      <w:r w:rsidRPr="0070334D">
        <w:rPr>
          <w:rFonts w:cs="Times New Roman"/>
          <w:sz w:val="22"/>
          <w:szCs w:val="22"/>
        </w:rPr>
        <w:tab/>
      </w:r>
      <w:r w:rsidRPr="0070334D">
        <w:rPr>
          <w:rFonts w:cs="Times New Roman"/>
          <w:sz w:val="22"/>
          <w:szCs w:val="22"/>
        </w:rPr>
        <w:tab/>
      </w:r>
      <w:r w:rsidRPr="0070334D">
        <w:rPr>
          <w:rFonts w:cs="Times New Roman"/>
          <w:sz w:val="22"/>
          <w:szCs w:val="22"/>
        </w:rPr>
        <w:tab/>
      </w:r>
      <w:r w:rsidRPr="0070334D">
        <w:rPr>
          <w:rFonts w:cs="Times New Roman"/>
          <w:sz w:val="22"/>
          <w:szCs w:val="22"/>
        </w:rPr>
        <w:tab/>
      </w:r>
      <w:r w:rsidRPr="0070334D">
        <w:rPr>
          <w:rFonts w:cs="Times New Roman"/>
          <w:sz w:val="22"/>
          <w:szCs w:val="22"/>
        </w:rPr>
        <w:tab/>
      </w:r>
      <w:r w:rsidRPr="0070334D">
        <w:rPr>
          <w:rFonts w:cs="Times New Roman"/>
          <w:sz w:val="22"/>
          <w:szCs w:val="22"/>
        </w:rPr>
        <w:tab/>
      </w:r>
      <w:r w:rsidRPr="0070334D">
        <w:rPr>
          <w:rFonts w:cs="Times New Roman"/>
          <w:sz w:val="22"/>
          <w:szCs w:val="22"/>
        </w:rPr>
        <w:tab/>
      </w:r>
      <w:r w:rsidRPr="0070334D"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</w:r>
      <w:r w:rsidRPr="003052D2">
        <w:rPr>
          <w:rFonts w:cs="Times New Roman"/>
          <w:sz w:val="22"/>
          <w:szCs w:val="22"/>
        </w:rPr>
        <w:t xml:space="preserve">Deltai Károly </w:t>
      </w:r>
    </w:p>
    <w:p w14:paraId="10EB8B8C" w14:textId="77777777" w:rsidR="00A01E98" w:rsidRPr="0070334D" w:rsidRDefault="00A01E98" w:rsidP="00A01E98">
      <w:pPr>
        <w:ind w:left="7788" w:firstLine="708"/>
        <w:rPr>
          <w:rFonts w:cs="Times New Roman"/>
          <w:sz w:val="22"/>
          <w:szCs w:val="22"/>
        </w:rPr>
      </w:pPr>
      <w:r w:rsidRPr="003052D2">
        <w:rPr>
          <w:rFonts w:cs="Times New Roman"/>
          <w:sz w:val="22"/>
          <w:szCs w:val="22"/>
        </w:rPr>
        <w:t>polgármester</w:t>
      </w:r>
      <w:r w:rsidRPr="003052D2">
        <w:rPr>
          <w:rFonts w:cs="Times New Roman"/>
          <w:sz w:val="22"/>
          <w:szCs w:val="22"/>
        </w:rPr>
        <w:br/>
      </w:r>
    </w:p>
    <w:p w14:paraId="6F739ADE" w14:textId="77777777" w:rsidR="000703B8" w:rsidRDefault="000703B8">
      <w:pPr>
        <w:pStyle w:val="Szvegtrzs"/>
        <w:spacing w:line="240" w:lineRule="auto"/>
        <w:jc w:val="right"/>
        <w:rPr>
          <w:i/>
          <w:iCs/>
          <w:u w:val="single"/>
        </w:rPr>
      </w:pPr>
    </w:p>
    <w:p w14:paraId="17C9AF1F" w14:textId="77777777" w:rsidR="000703B8" w:rsidRDefault="000703B8">
      <w:pPr>
        <w:pStyle w:val="Szvegtrzs"/>
        <w:spacing w:line="240" w:lineRule="auto"/>
        <w:jc w:val="right"/>
        <w:rPr>
          <w:i/>
          <w:iCs/>
          <w:u w:val="single"/>
        </w:rPr>
      </w:pPr>
    </w:p>
    <w:p w14:paraId="4E692FA0" w14:textId="7D2EC52E" w:rsidR="000703B8" w:rsidRDefault="00A01E98" w:rsidP="00A01E98">
      <w:pPr>
        <w:tabs>
          <w:tab w:val="left" w:pos="1318"/>
        </w:tabs>
      </w:pPr>
      <w:r>
        <w:tab/>
      </w:r>
      <w:r w:rsidR="00DF7550">
        <w:rPr>
          <w:i/>
          <w:iCs/>
          <w:u w:val="single"/>
        </w:rPr>
        <w:t>1. melléklet a 6/2026. (VI. 16.) önkormányzati rendelethez</w:t>
      </w:r>
      <w:r w:rsidR="000703B8" w:rsidRPr="000703B8">
        <w:rPr>
          <w:noProof/>
        </w:rPr>
        <w:drawing>
          <wp:inline distT="0" distB="0" distL="0" distR="0" wp14:anchorId="49CDB420" wp14:editId="69AF638C">
            <wp:extent cx="6120130" cy="8658860"/>
            <wp:effectExtent l="0" t="0" r="0" b="8890"/>
            <wp:docPr id="41021533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2E775" w14:textId="77777777" w:rsidR="0039264F" w:rsidRDefault="0039264F">
      <w:pPr>
        <w:pStyle w:val="Szvegtrzs"/>
        <w:spacing w:line="240" w:lineRule="auto"/>
        <w:jc w:val="right"/>
        <w:rPr>
          <w:i/>
          <w:iCs/>
          <w:u w:val="single"/>
        </w:rPr>
      </w:pPr>
    </w:p>
    <w:p w14:paraId="1F7C047D" w14:textId="313BD3A3" w:rsidR="00C64428" w:rsidRDefault="00DF7550">
      <w:pPr>
        <w:pStyle w:val="Szvegtrzs"/>
        <w:spacing w:line="240" w:lineRule="auto"/>
        <w:jc w:val="right"/>
        <w:rPr>
          <w:i/>
          <w:iCs/>
          <w:u w:val="single"/>
        </w:rPr>
      </w:pPr>
      <w:r>
        <w:rPr>
          <w:i/>
          <w:iCs/>
          <w:u w:val="single"/>
        </w:rPr>
        <w:lastRenderedPageBreak/>
        <w:t>2. melléklet a 6/2026. (VI. 16.) önkormányzati rendelethez</w:t>
      </w:r>
    </w:p>
    <w:p w14:paraId="78750CED" w14:textId="56D0CA5B" w:rsidR="000703B8" w:rsidRDefault="000703B8">
      <w:pPr>
        <w:pStyle w:val="Szvegtrzs"/>
        <w:spacing w:line="240" w:lineRule="auto"/>
        <w:jc w:val="both"/>
      </w:pPr>
      <w:r w:rsidRPr="000703B8">
        <w:rPr>
          <w:noProof/>
        </w:rPr>
        <w:drawing>
          <wp:inline distT="0" distB="0" distL="0" distR="0" wp14:anchorId="6319AF67" wp14:editId="7F395DCF">
            <wp:extent cx="5095875" cy="5572125"/>
            <wp:effectExtent l="0" t="0" r="9525" b="9525"/>
            <wp:docPr id="1302802675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72135" w14:textId="77777777" w:rsidR="000703B8" w:rsidRDefault="000703B8">
      <w:pPr>
        <w:pStyle w:val="Szvegtrzs"/>
        <w:spacing w:line="240" w:lineRule="auto"/>
        <w:jc w:val="both"/>
      </w:pPr>
    </w:p>
    <w:p w14:paraId="4E844C62" w14:textId="77777777" w:rsidR="000703B8" w:rsidRDefault="000703B8">
      <w:pPr>
        <w:pStyle w:val="Szvegtrzs"/>
        <w:spacing w:line="240" w:lineRule="auto"/>
        <w:jc w:val="both"/>
      </w:pPr>
    </w:p>
    <w:p w14:paraId="13C5EB51" w14:textId="77777777" w:rsidR="000703B8" w:rsidRDefault="000703B8">
      <w:pPr>
        <w:pStyle w:val="Szvegtrzs"/>
        <w:spacing w:line="240" w:lineRule="auto"/>
        <w:jc w:val="both"/>
      </w:pPr>
    </w:p>
    <w:p w14:paraId="1D594B08" w14:textId="77777777" w:rsidR="000703B8" w:rsidRDefault="000703B8">
      <w:pPr>
        <w:pStyle w:val="Szvegtrzs"/>
        <w:spacing w:line="240" w:lineRule="auto"/>
        <w:jc w:val="both"/>
      </w:pPr>
    </w:p>
    <w:p w14:paraId="6DE639D4" w14:textId="77777777" w:rsidR="000703B8" w:rsidRDefault="000703B8">
      <w:pPr>
        <w:pStyle w:val="Szvegtrzs"/>
        <w:spacing w:line="240" w:lineRule="auto"/>
        <w:jc w:val="both"/>
      </w:pPr>
    </w:p>
    <w:p w14:paraId="577532E1" w14:textId="77777777" w:rsidR="00682878" w:rsidRDefault="00682878">
      <w:pPr>
        <w:pStyle w:val="Szvegtrzs"/>
        <w:spacing w:line="240" w:lineRule="auto"/>
        <w:jc w:val="both"/>
      </w:pPr>
    </w:p>
    <w:p w14:paraId="665EED75" w14:textId="77777777" w:rsidR="00682878" w:rsidRDefault="00682878">
      <w:pPr>
        <w:pStyle w:val="Szvegtrzs"/>
        <w:spacing w:line="240" w:lineRule="auto"/>
        <w:jc w:val="both"/>
      </w:pPr>
    </w:p>
    <w:p w14:paraId="439D6932" w14:textId="77777777" w:rsidR="00682878" w:rsidRDefault="00682878">
      <w:pPr>
        <w:pStyle w:val="Szvegtrzs"/>
        <w:spacing w:line="240" w:lineRule="auto"/>
        <w:jc w:val="both"/>
      </w:pPr>
    </w:p>
    <w:p w14:paraId="1BE7F22A" w14:textId="77777777" w:rsidR="00682878" w:rsidRDefault="00682878">
      <w:pPr>
        <w:pStyle w:val="Szvegtrzs"/>
        <w:spacing w:line="240" w:lineRule="auto"/>
        <w:jc w:val="both"/>
      </w:pPr>
    </w:p>
    <w:sectPr w:rsidR="00682878" w:rsidSect="00A01E98">
      <w:footerReference w:type="default" r:id="rId12"/>
      <w:pgSz w:w="11906" w:h="16838"/>
      <w:pgMar w:top="720" w:right="720" w:bottom="720" w:left="720" w:header="0" w:footer="1134" w:gutter="0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7C12D6" w14:textId="77777777" w:rsidR="00920DC3" w:rsidRDefault="00920DC3">
      <w:r>
        <w:separator/>
      </w:r>
    </w:p>
  </w:endnote>
  <w:endnote w:type="continuationSeparator" w:id="0">
    <w:p w14:paraId="3AFE2255" w14:textId="77777777" w:rsidR="00920DC3" w:rsidRDefault="00920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1"/>
    <w:family w:val="roman"/>
    <w:pitch w:val="variable"/>
  </w:font>
  <w:font w:name="Noto Sans CJK SC Regular">
    <w:altName w:val="Cambria"/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OpenSymbol">
    <w:altName w:val="Segoe UI Symbol"/>
    <w:charset w:val="02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60306" w14:textId="77777777" w:rsidR="00C64428" w:rsidRDefault="00DF7550">
    <w:pPr>
      <w:pStyle w:val="llb"/>
      <w:jc w:val="center"/>
    </w:pPr>
    <w:r>
      <w:fldChar w:fldCharType="begin"/>
    </w:r>
    <w:r>
      <w:instrText>PAGE</w:instrText>
    </w:r>
    <w:r>
      <w:fldChar w:fldCharType="separate"/>
    </w:r>
    <w: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FEBF95" w14:textId="77777777" w:rsidR="00920DC3" w:rsidRDefault="00920DC3">
      <w:r>
        <w:separator/>
      </w:r>
    </w:p>
  </w:footnote>
  <w:footnote w:type="continuationSeparator" w:id="0">
    <w:p w14:paraId="270A9EA6" w14:textId="77777777" w:rsidR="00920DC3" w:rsidRDefault="00920D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FA7ED1"/>
    <w:multiLevelType w:val="multilevel"/>
    <w:tmpl w:val="D188D77E"/>
    <w:lvl w:ilvl="0">
      <w:start w:val="1"/>
      <w:numFmt w:val="none"/>
      <w:pStyle w:val="Cmsor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Cmsor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Cmsor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Cmsor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Cmsor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4908747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428"/>
    <w:rsid w:val="00014936"/>
    <w:rsid w:val="00040B14"/>
    <w:rsid w:val="000703B8"/>
    <w:rsid w:val="002F5ADC"/>
    <w:rsid w:val="0039264F"/>
    <w:rsid w:val="0040029A"/>
    <w:rsid w:val="00415077"/>
    <w:rsid w:val="004D74DB"/>
    <w:rsid w:val="005A50FF"/>
    <w:rsid w:val="00677CD1"/>
    <w:rsid w:val="00682878"/>
    <w:rsid w:val="006B5AA0"/>
    <w:rsid w:val="00920DC3"/>
    <w:rsid w:val="00A01E98"/>
    <w:rsid w:val="00C1202F"/>
    <w:rsid w:val="00C64428"/>
    <w:rsid w:val="00CD6D45"/>
    <w:rsid w:val="00D645E2"/>
    <w:rsid w:val="00DF7550"/>
    <w:rsid w:val="00F232B6"/>
    <w:rsid w:val="00FB6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A622A"/>
  <w15:docId w15:val="{610C3B58-F9E9-46BD-B20F-2A15E969A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oto Sans CJK SC Regular" w:hAnsi="Liberation Serif" w:cs="FreeSans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Times New Roman" w:hAnsi="Times New Roman"/>
      <w:lang w:val="hu-HU"/>
    </w:rPr>
  </w:style>
  <w:style w:type="paragraph" w:styleId="Cmsor1">
    <w:name w:val="heading 1"/>
    <w:basedOn w:val="Heading"/>
    <w:next w:val="Szvegtrzs"/>
    <w:uiPriority w:val="9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Cmsor2">
    <w:name w:val="heading 2"/>
    <w:basedOn w:val="Heading"/>
    <w:next w:val="Szvegtrzs"/>
    <w:uiPriority w:val="9"/>
    <w:semiHidden/>
    <w:unhideWhenUsed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Cmsor3">
    <w:name w:val="heading 3"/>
    <w:basedOn w:val="Heading"/>
    <w:next w:val="Szvegtrzs"/>
    <w:uiPriority w:val="9"/>
    <w:semiHidden/>
    <w:unhideWhenUsed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paragraph" w:styleId="Cmsor4">
    <w:name w:val="heading 4"/>
    <w:basedOn w:val="Heading"/>
    <w:next w:val="Szvegtrzs"/>
    <w:uiPriority w:val="9"/>
    <w:semiHidden/>
    <w:unhideWhenUsed/>
    <w:qFormat/>
    <w:pPr>
      <w:numPr>
        <w:ilvl w:val="3"/>
        <w:numId w:val="1"/>
      </w:numPr>
      <w:spacing w:before="120"/>
      <w:outlineLvl w:val="3"/>
    </w:pPr>
    <w:rPr>
      <w:b/>
      <w:bCs/>
      <w:i/>
      <w:iCs/>
      <w:sz w:val="27"/>
      <w:szCs w:val="27"/>
    </w:rPr>
  </w:style>
  <w:style w:type="paragraph" w:styleId="Cmsor5">
    <w:name w:val="heading 5"/>
    <w:basedOn w:val="Heading"/>
    <w:next w:val="Szvegtrzs"/>
    <w:uiPriority w:val="9"/>
    <w:semiHidden/>
    <w:unhideWhenUsed/>
    <w:qFormat/>
    <w:pPr>
      <w:numPr>
        <w:ilvl w:val="4"/>
        <w:numId w:val="1"/>
      </w:numPr>
      <w:spacing w:before="120" w:after="60"/>
      <w:outlineLvl w:val="4"/>
    </w:pPr>
    <w:rPr>
      <w:b/>
      <w:bCs/>
      <w:sz w:val="24"/>
      <w:szCs w:val="24"/>
    </w:rPr>
  </w:style>
  <w:style w:type="paragraph" w:styleId="Cmsor6">
    <w:name w:val="heading 6"/>
    <w:basedOn w:val="Heading"/>
    <w:next w:val="Szvegtrzs"/>
    <w:uiPriority w:val="9"/>
    <w:semiHidden/>
    <w:unhideWhenUsed/>
    <w:qFormat/>
    <w:pPr>
      <w:numPr>
        <w:ilvl w:val="5"/>
        <w:numId w:val="1"/>
      </w:numPr>
      <w:spacing w:before="60" w:after="60"/>
      <w:outlineLvl w:val="5"/>
    </w:pPr>
    <w:rPr>
      <w:b/>
      <w:bCs/>
      <w:i/>
      <w:iCs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Pr>
      <w:color w:val="000080"/>
      <w:u w:val="single"/>
    </w:rPr>
  </w:style>
  <w:style w:type="character" w:styleId="Mrltotthiperhivatkozs">
    <w:name w:val="FollowedHyperlink"/>
    <w:rPr>
      <w:color w:val="800000"/>
      <w:u w:val="single"/>
    </w:rPr>
  </w:style>
  <w:style w:type="character" w:customStyle="1" w:styleId="NumberingSymbols">
    <w:name w:val="Numbering Symbols"/>
    <w:qFormat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l"/>
    <w:next w:val="Szvegtrzs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Szvegtrzs">
    <w:name w:val="Body Text"/>
    <w:basedOn w:val="Norml"/>
    <w:pPr>
      <w:spacing w:after="140" w:line="288" w:lineRule="auto"/>
    </w:pPr>
  </w:style>
  <w:style w:type="paragraph" w:styleId="Lista">
    <w:name w:val="List"/>
    <w:basedOn w:val="Szvegtrzs"/>
  </w:style>
  <w:style w:type="paragraph" w:styleId="Kpalrs">
    <w:name w:val="caption"/>
    <w:basedOn w:val="Norm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"/>
    <w:qFormat/>
    <w:pPr>
      <w:suppressLineNumbers/>
    </w:pPr>
  </w:style>
  <w:style w:type="paragraph" w:customStyle="1" w:styleId="HeaderandFooter">
    <w:name w:val="Header and Footer"/>
    <w:basedOn w:val="Norml"/>
    <w:qFormat/>
    <w:pPr>
      <w:suppressLineNumbers/>
      <w:tabs>
        <w:tab w:val="center" w:pos="4986"/>
        <w:tab w:val="right" w:pos="9972"/>
      </w:tabs>
    </w:pPr>
  </w:style>
  <w:style w:type="paragraph" w:styleId="llb">
    <w:name w:val="footer"/>
    <w:basedOn w:val="Norml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Norm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HorizontalLine">
    <w:name w:val="Horizontal Line"/>
    <w:basedOn w:val="Norml"/>
    <w:next w:val="Szvegtrzs"/>
    <w:qFormat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styleId="NormlWeb">
    <w:name w:val="Normal (Web)"/>
    <w:basedOn w:val="Norml"/>
    <w:uiPriority w:val="99"/>
    <w:unhideWhenUsed/>
    <w:rsid w:val="00A01E98"/>
    <w:pPr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hu-H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ivatal@telki.h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://www.telki.h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1015</Words>
  <Characters>7010</Characters>
  <Application>Microsoft Office Word</Application>
  <DocSecurity>0</DocSecurity>
  <Lines>58</Lines>
  <Paragraphs>16</Paragraphs>
  <ScaleCrop>false</ScaleCrop>
  <Company/>
  <LinksUpToDate>false</LinksUpToDate>
  <CharactersWithSpaces>8009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Vinczéné dr. Joó Györgyi</dc:creator>
  <dc:description/>
  <cp:lastModifiedBy>Balázs Szilágyi</cp:lastModifiedBy>
  <cp:revision>7</cp:revision>
  <cp:lastPrinted>2026-06-17T11:45:00Z</cp:lastPrinted>
  <dcterms:created xsi:type="dcterms:W3CDTF">2026-06-17T11:00:00Z</dcterms:created>
  <dcterms:modified xsi:type="dcterms:W3CDTF">2026-06-18T08:31:00Z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ingleXMLDocument_count">
    <vt:r8>1</vt:r8>
  </property>
</Properties>
</file>